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90" w:rsidRDefault="002C2A9F" w:rsidP="00395490">
      <w:pPr>
        <w:tabs>
          <w:tab w:val="left" w:pos="1418"/>
        </w:tabs>
        <w:rPr>
          <w:rFonts w:ascii="微软雅黑" w:eastAsia="微软雅黑" w:hAnsi="微软雅黑" w:cs="Arial"/>
          <w:sz w:val="16"/>
          <w:szCs w:val="16"/>
        </w:rPr>
      </w:pPr>
      <w:r w:rsidRPr="00C974DF">
        <w:rPr>
          <w:rFonts w:ascii="微软雅黑" w:eastAsia="微软雅黑" w:hAnsi="微软雅黑" w:cs="Arial" w:hint="eastAsia"/>
          <w:b/>
          <w:color w:val="FF0000"/>
          <w:sz w:val="16"/>
          <w:szCs w:val="16"/>
        </w:rPr>
        <w:t>产品名称：</w:t>
      </w:r>
      <w:r w:rsidR="00395490" w:rsidRPr="00395490">
        <w:rPr>
          <w:rFonts w:ascii="微软雅黑" w:eastAsia="微软雅黑" w:hAnsi="微软雅黑" w:cs="Arial" w:hint="eastAsia"/>
          <w:sz w:val="16"/>
          <w:szCs w:val="16"/>
        </w:rPr>
        <w:t>泰康祥云鑫泰终身年金保险</w:t>
      </w:r>
    </w:p>
    <w:p w:rsidR="00395490" w:rsidRDefault="00B714B7" w:rsidP="00395490">
      <w:pPr>
        <w:tabs>
          <w:tab w:val="left" w:pos="1418"/>
        </w:tabs>
        <w:rPr>
          <w:rFonts w:ascii="微软雅黑" w:eastAsia="微软雅黑" w:hAnsi="微软雅黑" w:cs="宋体"/>
          <w:kern w:val="0"/>
          <w:sz w:val="16"/>
          <w:szCs w:val="16"/>
        </w:rPr>
      </w:pPr>
      <w:r w:rsidRPr="00B714B7">
        <w:rPr>
          <w:rFonts w:ascii="微软雅黑" w:eastAsia="微软雅黑" w:hAnsi="微软雅黑" w:cs="Arial" w:hint="eastAsia"/>
          <w:b/>
          <w:color w:val="FF0000"/>
          <w:sz w:val="16"/>
          <w:szCs w:val="16"/>
        </w:rPr>
        <w:t>组成</w:t>
      </w:r>
      <w:r w:rsidRPr="00B714B7">
        <w:rPr>
          <w:rFonts w:ascii="微软雅黑" w:eastAsia="微软雅黑" w:hAnsi="微软雅黑" w:cs="Arial"/>
          <w:b/>
          <w:color w:val="FF0000"/>
          <w:sz w:val="16"/>
          <w:szCs w:val="16"/>
        </w:rPr>
        <w:t>：</w:t>
      </w:r>
      <w:r w:rsidR="00395490" w:rsidRPr="00395490">
        <w:rPr>
          <w:rFonts w:ascii="微软雅黑" w:eastAsia="微软雅黑" w:hAnsi="微软雅黑" w:cs="宋体" w:hint="eastAsia"/>
          <w:kern w:val="0"/>
          <w:sz w:val="16"/>
          <w:szCs w:val="16"/>
        </w:rPr>
        <w:t>《泰康鑫泰年金保险》《泰康附加日日鑫年金保险（万能型）》《泰康附加鑫泰意外豁免保险费定期寿险》</w:t>
      </w:r>
    </w:p>
    <w:p w:rsidR="002C2A9F" w:rsidRPr="00C974DF" w:rsidRDefault="002C2A9F" w:rsidP="00395490">
      <w:pPr>
        <w:tabs>
          <w:tab w:val="left" w:pos="1418"/>
        </w:tabs>
        <w:rPr>
          <w:rFonts w:ascii="微软雅黑" w:eastAsia="微软雅黑" w:hAnsi="微软雅黑" w:cs="宋体"/>
          <w:kern w:val="0"/>
          <w:sz w:val="16"/>
          <w:szCs w:val="16"/>
        </w:rPr>
      </w:pPr>
      <w:r w:rsidRPr="00C974DF">
        <w:rPr>
          <w:rFonts w:ascii="微软雅黑" w:eastAsia="微软雅黑" w:hAnsi="微软雅黑" w:cs="Arial" w:hint="eastAsia"/>
          <w:b/>
          <w:color w:val="FF0000"/>
          <w:sz w:val="16"/>
          <w:szCs w:val="16"/>
        </w:rPr>
        <w:t>产品类别：</w:t>
      </w:r>
      <w:r w:rsidR="00395490" w:rsidRPr="00395490">
        <w:rPr>
          <w:rFonts w:ascii="微软雅黑" w:eastAsia="微软雅黑" w:hAnsi="微软雅黑" w:cs="宋体" w:hint="eastAsia"/>
          <w:kern w:val="0"/>
          <w:sz w:val="16"/>
          <w:szCs w:val="16"/>
        </w:rPr>
        <w:t>万能型</w:t>
      </w:r>
    </w:p>
    <w:p w:rsidR="002C2A9F" w:rsidRPr="00C974DF" w:rsidRDefault="002C2A9F" w:rsidP="002C2A9F">
      <w:pPr>
        <w:rPr>
          <w:rFonts w:ascii="微软雅黑" w:eastAsia="微软雅黑" w:hAnsi="微软雅黑" w:cs="Arial"/>
          <w:b/>
          <w:color w:val="FF0000"/>
          <w:sz w:val="16"/>
          <w:szCs w:val="16"/>
        </w:rPr>
      </w:pPr>
      <w:r w:rsidRPr="00C974DF">
        <w:rPr>
          <w:rFonts w:ascii="微软雅黑" w:eastAsia="微软雅黑" w:hAnsi="微软雅黑" w:cs="Arial" w:hint="eastAsia"/>
          <w:b/>
          <w:color w:val="FF0000"/>
          <w:sz w:val="16"/>
          <w:szCs w:val="16"/>
        </w:rPr>
        <w:t>产品基本信息：</w:t>
      </w:r>
    </w:p>
    <w:p w:rsidR="00DE10B7" w:rsidRDefault="002C2A9F" w:rsidP="002C2A9F">
      <w:pPr>
        <w:rPr>
          <w:rFonts w:ascii="微软雅黑" w:eastAsia="微软雅黑" w:hAnsi="微软雅黑" w:cs="Arial"/>
          <w:sz w:val="16"/>
          <w:szCs w:val="16"/>
        </w:rPr>
      </w:pPr>
      <w:r w:rsidRPr="00C974DF">
        <w:rPr>
          <w:rFonts w:ascii="微软雅黑" w:eastAsia="微软雅黑" w:hAnsi="微软雅黑" w:cs="Arial" w:hint="eastAsia"/>
          <w:sz w:val="16"/>
          <w:szCs w:val="16"/>
        </w:rPr>
        <w:t>投保年龄：</w:t>
      </w:r>
      <w:r w:rsidR="00395490" w:rsidRPr="00395490">
        <w:rPr>
          <w:rFonts w:ascii="微软雅黑" w:eastAsia="微软雅黑" w:hAnsi="微软雅黑" w:cs="Arial" w:hint="eastAsia"/>
          <w:sz w:val="16"/>
          <w:szCs w:val="16"/>
        </w:rPr>
        <w:t>0—59周岁且交费期满不超过60周岁</w:t>
      </w:r>
    </w:p>
    <w:p w:rsidR="00395490" w:rsidRDefault="00395490" w:rsidP="002C2A9F">
      <w:pPr>
        <w:rPr>
          <w:rFonts w:ascii="微软雅黑" w:eastAsia="微软雅黑" w:hAnsi="微软雅黑" w:cs="Arial"/>
          <w:sz w:val="16"/>
          <w:szCs w:val="16"/>
        </w:rPr>
      </w:pPr>
      <w:r>
        <w:rPr>
          <w:rFonts w:ascii="微软雅黑" w:eastAsia="微软雅黑" w:hAnsi="微软雅黑" w:cs="Arial" w:hint="eastAsia"/>
          <w:sz w:val="16"/>
          <w:szCs w:val="16"/>
        </w:rPr>
        <w:t>交费</w:t>
      </w:r>
      <w:r>
        <w:rPr>
          <w:rFonts w:ascii="微软雅黑" w:eastAsia="微软雅黑" w:hAnsi="微软雅黑" w:cs="Arial"/>
          <w:sz w:val="16"/>
          <w:szCs w:val="16"/>
        </w:rPr>
        <w:t>年</w:t>
      </w:r>
      <w:r>
        <w:rPr>
          <w:rFonts w:ascii="微软雅黑" w:eastAsia="微软雅黑" w:hAnsi="微软雅黑" w:cs="Arial" w:hint="eastAsia"/>
          <w:sz w:val="16"/>
          <w:szCs w:val="16"/>
        </w:rPr>
        <w:t>期</w:t>
      </w:r>
      <w:r>
        <w:rPr>
          <w:rFonts w:ascii="微软雅黑" w:eastAsia="微软雅黑" w:hAnsi="微软雅黑" w:cs="Arial"/>
          <w:sz w:val="16"/>
          <w:szCs w:val="16"/>
        </w:rPr>
        <w:t>：</w:t>
      </w:r>
      <w:r w:rsidRPr="00395490">
        <w:rPr>
          <w:rFonts w:ascii="微软雅黑" w:eastAsia="微软雅黑" w:hAnsi="微软雅黑" w:cs="Arial" w:hint="eastAsia"/>
          <w:sz w:val="16"/>
          <w:szCs w:val="16"/>
        </w:rPr>
        <w:t>趸、5、10、15、20年</w:t>
      </w:r>
    </w:p>
    <w:p w:rsidR="00395490" w:rsidRDefault="002C2A9F" w:rsidP="00395490">
      <w:pPr>
        <w:rPr>
          <w:rFonts w:ascii="微软雅黑" w:eastAsia="微软雅黑" w:hAnsi="微软雅黑" w:cs="Arial"/>
          <w:sz w:val="16"/>
          <w:szCs w:val="16"/>
        </w:rPr>
      </w:pPr>
      <w:r w:rsidRPr="00C974DF">
        <w:rPr>
          <w:rFonts w:ascii="微软雅黑" w:eastAsia="微软雅黑" w:hAnsi="微软雅黑" w:cs="Arial" w:hint="eastAsia"/>
          <w:sz w:val="16"/>
          <w:szCs w:val="16"/>
        </w:rPr>
        <w:t>保障期：</w:t>
      </w:r>
      <w:r w:rsidR="00395490" w:rsidRPr="00395490">
        <w:rPr>
          <w:rFonts w:ascii="微软雅黑" w:eastAsia="微软雅黑" w:hAnsi="微软雅黑" w:cs="Arial" w:hint="eastAsia"/>
          <w:sz w:val="16"/>
          <w:szCs w:val="16"/>
        </w:rPr>
        <w:t>保至105周岁</w:t>
      </w:r>
    </w:p>
    <w:p w:rsidR="002C2A9F" w:rsidRDefault="002C2A9F" w:rsidP="00395490">
      <w:pPr>
        <w:rPr>
          <w:rFonts w:ascii="微软雅黑" w:eastAsia="微软雅黑" w:hAnsi="微软雅黑" w:cs="Arial"/>
          <w:b/>
          <w:color w:val="FF0000"/>
          <w:sz w:val="16"/>
          <w:szCs w:val="16"/>
        </w:rPr>
      </w:pPr>
      <w:r w:rsidRPr="00C974DF">
        <w:rPr>
          <w:rFonts w:ascii="微软雅黑" w:eastAsia="微软雅黑" w:hAnsi="微软雅黑" w:cs="Arial" w:hint="eastAsia"/>
          <w:b/>
          <w:color w:val="FF0000"/>
          <w:sz w:val="16"/>
          <w:szCs w:val="16"/>
        </w:rPr>
        <w:t>产品特色：</w:t>
      </w:r>
    </w:p>
    <w:p w:rsidR="00395490" w:rsidRPr="00395490" w:rsidRDefault="00395490" w:rsidP="00395490">
      <w:pPr>
        <w:ind w:left="80" w:hangingChars="50" w:hanging="80"/>
        <w:jc w:val="left"/>
        <w:rPr>
          <w:rFonts w:ascii="微软雅黑" w:eastAsia="微软雅黑" w:hAnsi="微软雅黑" w:cs="Arial"/>
          <w:sz w:val="16"/>
          <w:szCs w:val="16"/>
        </w:rPr>
      </w:pPr>
      <w:r w:rsidRPr="00395490">
        <w:rPr>
          <w:rFonts w:ascii="微软雅黑" w:eastAsia="微软雅黑" w:hAnsi="微软雅黑" w:cs="Arial" w:hint="eastAsia"/>
          <w:sz w:val="16"/>
          <w:szCs w:val="16"/>
        </w:rPr>
        <w:t xml:space="preserve">费改年金，鑫在锁定：首款长期费改年金，主险利益清晰明确                             </w:t>
      </w:r>
      <w:r>
        <w:rPr>
          <w:rFonts w:ascii="微软雅黑" w:eastAsia="微软雅黑" w:hAnsi="微软雅黑" w:cs="Arial"/>
          <w:sz w:val="16"/>
          <w:szCs w:val="16"/>
        </w:rPr>
        <w:t xml:space="preserve">                      </w:t>
      </w:r>
      <w:r w:rsidRPr="00395490">
        <w:rPr>
          <w:rFonts w:ascii="微软雅黑" w:eastAsia="微软雅黑" w:hAnsi="微软雅黑" w:cs="Arial" w:hint="eastAsia"/>
          <w:sz w:val="16"/>
          <w:szCs w:val="16"/>
        </w:rPr>
        <w:t xml:space="preserve">年金给付，鑫在长久：生存年金年年给付，教育养老一生无忧                           </w:t>
      </w:r>
      <w:r>
        <w:rPr>
          <w:rFonts w:ascii="微软雅黑" w:eastAsia="微软雅黑" w:hAnsi="微软雅黑" w:cs="Arial"/>
          <w:sz w:val="16"/>
          <w:szCs w:val="16"/>
        </w:rPr>
        <w:t xml:space="preserve">                            </w:t>
      </w:r>
      <w:r w:rsidRPr="00395490">
        <w:rPr>
          <w:rFonts w:ascii="微软雅黑" w:eastAsia="微软雅黑" w:hAnsi="微软雅黑" w:cs="Arial" w:hint="eastAsia"/>
          <w:sz w:val="16"/>
          <w:szCs w:val="16"/>
        </w:rPr>
        <w:t xml:space="preserve">保费返还，鑫在保本：八十周岁返还保费，资金保值彰显人性                            </w:t>
      </w:r>
      <w:r>
        <w:rPr>
          <w:rFonts w:ascii="微软雅黑" w:eastAsia="微软雅黑" w:hAnsi="微软雅黑" w:cs="Arial"/>
          <w:sz w:val="16"/>
          <w:szCs w:val="16"/>
        </w:rPr>
        <w:t xml:space="preserve">                      </w:t>
      </w:r>
      <w:r w:rsidRPr="00395490">
        <w:rPr>
          <w:rFonts w:ascii="微软雅黑" w:eastAsia="微软雅黑" w:hAnsi="微软雅黑" w:cs="Arial" w:hint="eastAsia"/>
          <w:sz w:val="16"/>
          <w:szCs w:val="16"/>
        </w:rPr>
        <w:t xml:space="preserve">加速回报，鑫在成长：万能账户月月复利，资金增值缓解通胀                               </w:t>
      </w:r>
      <w:r>
        <w:rPr>
          <w:rFonts w:ascii="微软雅黑" w:eastAsia="微软雅黑" w:hAnsi="微软雅黑" w:cs="Arial"/>
          <w:sz w:val="16"/>
          <w:szCs w:val="16"/>
        </w:rPr>
        <w:t xml:space="preserve">                     </w:t>
      </w:r>
      <w:r w:rsidRPr="00395490">
        <w:rPr>
          <w:rFonts w:ascii="微软雅黑" w:eastAsia="微软雅黑" w:hAnsi="微软雅黑" w:cs="Arial" w:hint="eastAsia"/>
          <w:sz w:val="16"/>
          <w:szCs w:val="16"/>
        </w:rPr>
        <w:t xml:space="preserve">灵活可取，鑫在变通：万能账户灵活可取，符合条件自由自配 </w:t>
      </w:r>
    </w:p>
    <w:p w:rsidR="00395490" w:rsidRDefault="00395490" w:rsidP="00395490">
      <w:pPr>
        <w:jc w:val="left"/>
        <w:rPr>
          <w:rFonts w:ascii="微软雅黑" w:eastAsia="微软雅黑" w:hAnsi="微软雅黑" w:cs="Arial"/>
          <w:sz w:val="16"/>
          <w:szCs w:val="16"/>
        </w:rPr>
      </w:pPr>
      <w:r w:rsidRPr="00395490">
        <w:rPr>
          <w:rFonts w:ascii="微软雅黑" w:eastAsia="微软雅黑" w:hAnsi="微软雅黑" w:cs="Arial" w:hint="eastAsia"/>
          <w:sz w:val="16"/>
          <w:szCs w:val="16"/>
        </w:rPr>
        <w:t>保费豁免，鑫在温情：遭受意外豁免保费，充分体现人为关怀</w:t>
      </w:r>
    </w:p>
    <w:p w:rsidR="002C2A9F" w:rsidRPr="00C974DF" w:rsidRDefault="002C2A9F" w:rsidP="00395490">
      <w:pPr>
        <w:rPr>
          <w:rFonts w:ascii="微软雅黑" w:eastAsia="微软雅黑" w:hAnsi="微软雅黑" w:cs="Arial"/>
          <w:b/>
          <w:color w:val="FF0000"/>
          <w:sz w:val="16"/>
          <w:szCs w:val="16"/>
        </w:rPr>
      </w:pPr>
      <w:r w:rsidRPr="00C974DF">
        <w:rPr>
          <w:rFonts w:ascii="微软雅黑" w:eastAsia="微软雅黑" w:hAnsi="微软雅黑" w:cs="Arial" w:hint="eastAsia"/>
          <w:b/>
          <w:color w:val="FF0000"/>
          <w:sz w:val="16"/>
          <w:szCs w:val="16"/>
        </w:rPr>
        <w:t>投保示例：</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被保险人为 0 岁男性，投保“泰康鑫泰年金保障计划”，保险费交费期间为 10 年，年交保费 1 万元</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1. 主险保险责任</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生存保险金</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1) 合同生效之日起至年满 60 周岁后的首个主合同的年生效对应日前，被保险人在每一个主合同的年生效对应日生存，生存类保险金受益人每年可以领取 2005 元生存保险金，共领取 59 次；</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2) 自年满 60 周岁后首个主合同的年生效对应日起，被保险人在每一个主合同的年生效对应日生存，生存类保险金受益人每年可以领取 8018 元生存保险金，直至被保险人年满 105 周岁。</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祝寿保险金</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被保险人年满 80 周岁后的首个主合同的年生效对应日生存，一次性返还您累计交纳的保险费数额 100000 元主合同项下生存类保险金自动进入《泰康附加日日鑫年金保险（万能型）》保单账户</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身故保险金</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1) 被保险人在年满 80 周岁后的首个主合同的年生效对应日（不含该日）之前身故，身故保险金的数额为下列两项金额中的较大者：</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① 您累计交纳的本合同的保险费数额（不计息）</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② 被保险人身故时本合同的现金价值</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2) 被保险人在年满 80 周岁后的首个主合同的年生效对应日（含该日）之后身故，身故保险金的数额为 0</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2. 附加险保险责任</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sz w:val="16"/>
          <w:szCs w:val="16"/>
        </w:rPr>
        <w:t xml:space="preserve"> </w:t>
      </w:r>
      <w:r w:rsidRPr="001E3910">
        <w:rPr>
          <w:rFonts w:ascii="微软雅黑" w:eastAsia="微软雅黑" w:hAnsi="微软雅黑" w:cs="Arial" w:hint="eastAsia"/>
          <w:sz w:val="16"/>
          <w:szCs w:val="16"/>
        </w:rPr>
        <w:t>年金</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自附加合同生效满 3 个保单年度起，如果附加合同有效且被保险人生存，您可以向我们申请年金。自您提出申请后的首个附加合同的年生效对应日起（含该日），若被保险人在每一个附加合同的年生效对应日生存，我们按您与我们约定的金额向年金受益人给付年金，保单账户价值每年于年生效对应日按照给付的年金金额等额减少。我们每年按照约定向年金受益人给付年金之后，保单账户价值不得低于我们约定的最低金额。若保单账户价值低于我们约定的最低金额，我们将不再向年金受益人给付年金。</w:t>
      </w:r>
    </w:p>
    <w:p w:rsidR="001E3910" w:rsidRPr="001E3910"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身故保险金</w:t>
      </w:r>
    </w:p>
    <w:p w:rsidR="005C5A28" w:rsidRPr="00C974DF" w:rsidRDefault="001E3910" w:rsidP="001E3910">
      <w:pPr>
        <w:rPr>
          <w:rFonts w:ascii="微软雅黑" w:eastAsia="微软雅黑" w:hAnsi="微软雅黑" w:cs="Arial"/>
          <w:sz w:val="16"/>
          <w:szCs w:val="16"/>
        </w:rPr>
      </w:pPr>
      <w:r w:rsidRPr="001E3910">
        <w:rPr>
          <w:rFonts w:ascii="微软雅黑" w:eastAsia="微软雅黑" w:hAnsi="微软雅黑" w:cs="Arial" w:hint="eastAsia"/>
          <w:sz w:val="16"/>
          <w:szCs w:val="16"/>
        </w:rPr>
        <w:t>被保险人身故，我们按被保险人身故之日附加合同的保单账户价值向身故保险金受益人给付身故保险金。</w:t>
      </w:r>
      <w:r w:rsidRPr="001E3910">
        <w:rPr>
          <w:rFonts w:ascii="微软雅黑" w:eastAsia="微软雅黑" w:hAnsi="微软雅黑" w:cs="Arial"/>
          <w:sz w:val="16"/>
          <w:szCs w:val="16"/>
        </w:rPr>
        <w:cr/>
      </w:r>
      <w:r w:rsidR="005C5A28" w:rsidRPr="00C974DF">
        <w:rPr>
          <w:rFonts w:ascii="微软雅黑" w:eastAsia="微软雅黑" w:hAnsi="微软雅黑" w:cs="Arial" w:hint="eastAsia"/>
          <w:sz w:val="16"/>
          <w:szCs w:val="16"/>
        </w:rPr>
        <w:t>附注：</w:t>
      </w:r>
    </w:p>
    <w:p w:rsidR="005C5A28" w:rsidRPr="00C974DF" w:rsidRDefault="005C5A28" w:rsidP="005C5A28">
      <w:pPr>
        <w:rPr>
          <w:rFonts w:ascii="微软雅黑" w:eastAsia="微软雅黑" w:hAnsi="微软雅黑" w:cs="Times New Roman"/>
          <w:b/>
          <w:color w:val="FF0000"/>
          <w:sz w:val="16"/>
          <w:szCs w:val="16"/>
          <w:lang w:val="en-GB"/>
        </w:rPr>
      </w:pPr>
      <w:r w:rsidRPr="00C974DF">
        <w:rPr>
          <w:rFonts w:ascii="微软雅黑" w:eastAsia="微软雅黑" w:hAnsi="微软雅黑" w:hint="eastAsia"/>
          <w:b/>
          <w:color w:val="FF0000"/>
          <w:sz w:val="16"/>
          <w:szCs w:val="16"/>
          <w:lang w:val="en-GB"/>
        </w:rPr>
        <w:t>※ 本保障由泰康人寿保险股份有限公司提供。</w:t>
      </w:r>
    </w:p>
    <w:p w:rsidR="005C5A28" w:rsidRPr="00C974DF" w:rsidRDefault="005C5A28" w:rsidP="005C5A28">
      <w:pPr>
        <w:rPr>
          <w:rFonts w:ascii="微软雅黑" w:eastAsia="微软雅黑" w:hAnsi="微软雅黑"/>
          <w:b/>
          <w:color w:val="FF0000"/>
          <w:sz w:val="16"/>
          <w:szCs w:val="16"/>
          <w:lang w:val="en-GB"/>
        </w:rPr>
      </w:pPr>
      <w:r w:rsidRPr="00C974DF">
        <w:rPr>
          <w:rFonts w:ascii="微软雅黑" w:eastAsia="微软雅黑" w:hAnsi="微软雅黑" w:hint="eastAsia"/>
          <w:b/>
          <w:color w:val="FF0000"/>
          <w:sz w:val="16"/>
          <w:szCs w:val="16"/>
          <w:lang w:val="en-GB"/>
        </w:rPr>
        <w:t xml:space="preserve">※ </w:t>
      </w:r>
      <w:proofErr w:type="gramStart"/>
      <w:r w:rsidRPr="00C974DF">
        <w:rPr>
          <w:rFonts w:ascii="微软雅黑" w:eastAsia="微软雅黑" w:hAnsi="微软雅黑" w:hint="eastAsia"/>
          <w:b/>
          <w:color w:val="FF0000"/>
          <w:sz w:val="16"/>
          <w:szCs w:val="16"/>
          <w:lang w:val="en-GB"/>
        </w:rPr>
        <w:t>本保障</w:t>
      </w:r>
      <w:proofErr w:type="gramEnd"/>
      <w:r w:rsidRPr="00C974DF">
        <w:rPr>
          <w:rFonts w:ascii="微软雅黑" w:eastAsia="微软雅黑" w:hAnsi="微软雅黑" w:hint="eastAsia"/>
          <w:b/>
          <w:color w:val="FF0000"/>
          <w:sz w:val="16"/>
          <w:szCs w:val="16"/>
          <w:lang w:val="en-GB"/>
        </w:rPr>
        <w:t>适用于</w:t>
      </w:r>
      <w:r w:rsidR="00395490" w:rsidRPr="00395490">
        <w:rPr>
          <w:rFonts w:ascii="微软雅黑" w:eastAsia="微软雅黑" w:hAnsi="微软雅黑" w:hint="eastAsia"/>
          <w:b/>
          <w:color w:val="FF0000"/>
          <w:sz w:val="16"/>
          <w:szCs w:val="16"/>
          <w:lang w:val="en-GB"/>
        </w:rPr>
        <w:t>《泰康鑫泰年金保险》</w:t>
      </w:r>
      <w:r w:rsidR="0095176D">
        <w:rPr>
          <w:rFonts w:ascii="微软雅黑" w:eastAsia="微软雅黑" w:hAnsi="微软雅黑" w:hint="eastAsia"/>
          <w:b/>
          <w:color w:val="FF0000"/>
          <w:sz w:val="16"/>
          <w:szCs w:val="16"/>
          <w:lang w:val="en-GB"/>
        </w:rPr>
        <w:t>、</w:t>
      </w:r>
      <w:r w:rsidR="00395490" w:rsidRPr="00395490">
        <w:rPr>
          <w:rFonts w:ascii="微软雅黑" w:eastAsia="微软雅黑" w:hAnsi="微软雅黑" w:hint="eastAsia"/>
          <w:b/>
          <w:color w:val="FF0000"/>
          <w:sz w:val="16"/>
          <w:szCs w:val="16"/>
          <w:lang w:val="en-GB"/>
        </w:rPr>
        <w:t>《泰康附加日日鑫年金保险（万能型）》</w:t>
      </w:r>
      <w:r w:rsidR="0095176D">
        <w:rPr>
          <w:rFonts w:ascii="微软雅黑" w:eastAsia="微软雅黑" w:hAnsi="微软雅黑" w:hint="eastAsia"/>
          <w:b/>
          <w:color w:val="FF0000"/>
          <w:sz w:val="16"/>
          <w:szCs w:val="16"/>
          <w:lang w:val="en-GB"/>
        </w:rPr>
        <w:t>、</w:t>
      </w:r>
      <w:r w:rsidR="00395490" w:rsidRPr="00395490">
        <w:rPr>
          <w:rFonts w:ascii="微软雅黑" w:eastAsia="微软雅黑" w:hAnsi="微软雅黑" w:hint="eastAsia"/>
          <w:b/>
          <w:color w:val="FF0000"/>
          <w:sz w:val="16"/>
          <w:szCs w:val="16"/>
          <w:lang w:val="en-GB"/>
        </w:rPr>
        <w:t>《泰康附加鑫泰意外豁免保险费定期寿</w:t>
      </w:r>
      <w:r w:rsidR="00395490" w:rsidRPr="00395490">
        <w:rPr>
          <w:rFonts w:ascii="微软雅黑" w:eastAsia="微软雅黑" w:hAnsi="微软雅黑" w:hint="eastAsia"/>
          <w:b/>
          <w:color w:val="FF0000"/>
          <w:sz w:val="16"/>
          <w:szCs w:val="16"/>
          <w:lang w:val="en-GB"/>
        </w:rPr>
        <w:lastRenderedPageBreak/>
        <w:t>险》</w:t>
      </w:r>
      <w:r w:rsidRPr="00C974DF">
        <w:rPr>
          <w:rFonts w:ascii="微软雅黑" w:eastAsia="微软雅黑" w:hAnsi="微软雅黑" w:hint="eastAsia"/>
          <w:b/>
          <w:color w:val="FF0000"/>
          <w:sz w:val="16"/>
          <w:szCs w:val="16"/>
          <w:lang w:val="en-GB"/>
        </w:rPr>
        <w:t>，点击</w:t>
      </w:r>
      <w:bookmarkStart w:id="0" w:name="_GoBack"/>
      <w:r w:rsidR="001939DE">
        <w:rPr>
          <w:rFonts w:ascii="微软雅黑" w:eastAsia="微软雅黑" w:hAnsi="微软雅黑"/>
          <w:b/>
          <w:color w:val="FF0000"/>
          <w:sz w:val="16"/>
          <w:szCs w:val="16"/>
          <w:lang w:val="en-GB"/>
        </w:rPr>
        <w:object w:dxaOrig="3644"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3pt;height:36.6pt" o:ole="">
            <v:imagedata r:id="rId5" o:title=""/>
          </v:shape>
          <o:OLEObject Type="Embed" ProgID="Package" ShapeID="_x0000_i1025" DrawAspect="Content" ObjectID="_1557922933" r:id="rId6"/>
        </w:object>
      </w:r>
      <w:bookmarkEnd w:id="0"/>
      <w:r w:rsidRPr="00C974DF">
        <w:rPr>
          <w:rFonts w:ascii="微软雅黑" w:eastAsia="微软雅黑" w:hAnsi="微软雅黑" w:hint="eastAsia"/>
          <w:b/>
          <w:color w:val="FF0000"/>
          <w:sz w:val="16"/>
          <w:szCs w:val="16"/>
          <w:lang w:val="en-GB"/>
        </w:rPr>
        <w:t>查看具体条款。</w:t>
      </w:r>
    </w:p>
    <w:p w:rsidR="005C5A28" w:rsidRPr="00C974DF" w:rsidRDefault="005C5A28" w:rsidP="005C5A28">
      <w:pPr>
        <w:rPr>
          <w:rFonts w:ascii="微软雅黑" w:eastAsia="微软雅黑" w:hAnsi="微软雅黑"/>
          <w:b/>
          <w:color w:val="FF0000"/>
          <w:sz w:val="16"/>
          <w:szCs w:val="16"/>
          <w:lang w:val="en-GB"/>
        </w:rPr>
      </w:pPr>
      <w:r w:rsidRPr="00C974DF">
        <w:rPr>
          <w:rFonts w:ascii="微软雅黑" w:eastAsia="微软雅黑" w:hAnsi="微软雅黑" w:hint="eastAsia"/>
          <w:b/>
          <w:color w:val="FF0000"/>
          <w:sz w:val="16"/>
          <w:szCs w:val="16"/>
          <w:lang w:val="en-GB"/>
        </w:rPr>
        <w:t>※ 本介绍内容仅供参考，详细内容请参阅保险合同之保险条款，并以保险合同之规定内容为准。</w:t>
      </w:r>
    </w:p>
    <w:p w:rsidR="005C5A28" w:rsidRPr="00C974DF" w:rsidRDefault="005C5A28" w:rsidP="005C5A28">
      <w:pPr>
        <w:rPr>
          <w:rFonts w:ascii="微软雅黑" w:eastAsia="微软雅黑" w:hAnsi="微软雅黑" w:cs="Arial"/>
          <w:sz w:val="16"/>
          <w:szCs w:val="16"/>
          <w:lang w:val="en-GB"/>
        </w:rPr>
      </w:pPr>
    </w:p>
    <w:p w:rsidR="00593F73" w:rsidRPr="00C974DF" w:rsidRDefault="00593F73" w:rsidP="002C2A9F">
      <w:pPr>
        <w:rPr>
          <w:rFonts w:ascii="微软雅黑" w:eastAsia="微软雅黑" w:hAnsi="微软雅黑" w:cs="Arial"/>
          <w:sz w:val="16"/>
          <w:szCs w:val="16"/>
          <w:lang w:val="en-GB"/>
        </w:rPr>
      </w:pPr>
    </w:p>
    <w:sectPr w:rsidR="00593F73" w:rsidRPr="00C974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5B"/>
    <w:rsid w:val="001939DE"/>
    <w:rsid w:val="001E3910"/>
    <w:rsid w:val="002872A7"/>
    <w:rsid w:val="002C2A9F"/>
    <w:rsid w:val="00395490"/>
    <w:rsid w:val="004573F9"/>
    <w:rsid w:val="00501C5B"/>
    <w:rsid w:val="005750EE"/>
    <w:rsid w:val="00593F73"/>
    <w:rsid w:val="005C5A28"/>
    <w:rsid w:val="006C0F43"/>
    <w:rsid w:val="008124DB"/>
    <w:rsid w:val="0095176D"/>
    <w:rsid w:val="009A5C7A"/>
    <w:rsid w:val="009A7107"/>
    <w:rsid w:val="00B714B7"/>
    <w:rsid w:val="00C974DF"/>
    <w:rsid w:val="00DE1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36120">
      <w:bodyDiv w:val="1"/>
      <w:marLeft w:val="0"/>
      <w:marRight w:val="0"/>
      <w:marTop w:val="0"/>
      <w:marBottom w:val="0"/>
      <w:divBdr>
        <w:top w:val="none" w:sz="0" w:space="0" w:color="auto"/>
        <w:left w:val="none" w:sz="0" w:space="0" w:color="auto"/>
        <w:bottom w:val="none" w:sz="0" w:space="0" w:color="auto"/>
        <w:right w:val="none" w:sz="0" w:space="0" w:color="auto"/>
      </w:divBdr>
    </w:div>
    <w:div w:id="11956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222</Words>
  <Characters>1271</Characters>
  <Application>Microsoft Office Word</Application>
  <DocSecurity>0</DocSecurity>
  <Lines>10</Lines>
  <Paragraphs>2</Paragraphs>
  <ScaleCrop>false</ScaleCrop>
  <Company>gdb</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刘莉洪</dc:creator>
  <cp:keywords/>
  <dc:description/>
  <cp:lastModifiedBy>陈立峰/个人银行部/总行/广发银行</cp:lastModifiedBy>
  <cp:revision>27</cp:revision>
  <dcterms:created xsi:type="dcterms:W3CDTF">2016-11-21T06:28:00Z</dcterms:created>
  <dcterms:modified xsi:type="dcterms:W3CDTF">2017-06-02T07:36:00Z</dcterms:modified>
</cp:coreProperties>
</file>